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E3F43">
      <w:pPr>
        <w:jc w:val="left"/>
        <w:rPr>
          <w:rFonts w:ascii="宋体" w:hAnsi="宋体" w:eastAsia="宋体" w:cs="宋体"/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4"/>
          <w:szCs w:val="24"/>
        </w:rPr>
        <w:drawing>
          <wp:inline distT="0" distB="0" distL="114300" distR="114300">
            <wp:extent cx="1128395" cy="618490"/>
            <wp:effectExtent l="0" t="0" r="1905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                          </w:t>
      </w:r>
      <w:r>
        <w:rPr>
          <w:rFonts w:ascii="宋体" w:hAnsi="宋体" w:eastAsia="宋体" w:cs="宋体"/>
          <w:color w:val="auto"/>
          <w:sz w:val="24"/>
          <w:szCs w:val="24"/>
        </w:rPr>
        <w:drawing>
          <wp:inline distT="0" distB="0" distL="114300" distR="114300">
            <wp:extent cx="1027430" cy="667385"/>
            <wp:effectExtent l="0" t="0" r="1270" b="571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25EAEC">
      <w:pPr>
        <w:jc w:val="left"/>
        <w:rPr>
          <w:rFonts w:ascii="黑体" w:hAnsi="黑体" w:eastAsia="黑体" w:cs="黑体"/>
          <w:color w:val="auto"/>
          <w:sz w:val="20"/>
          <w:szCs w:val="20"/>
        </w:rPr>
      </w:pPr>
    </w:p>
    <w:p w14:paraId="49DC8562">
      <w:pPr>
        <w:jc w:val="center"/>
        <w:rPr>
          <w:rFonts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稳健医疗用品股份有限公司</w:t>
      </w:r>
    </w:p>
    <w:p w14:paraId="497362D4">
      <w:pPr>
        <w:jc w:val="center"/>
        <w:rPr>
          <w:rFonts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（股票代码：300888.SZ）</w:t>
      </w:r>
    </w:p>
    <w:p w14:paraId="12DF45C8">
      <w:pPr>
        <w:spacing w:after="624" w:afterLines="200" w:line="360" w:lineRule="auto"/>
        <w:jc w:val="center"/>
        <w:rPr>
          <w:rFonts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48"/>
          <w:szCs w:val="48"/>
        </w:rPr>
        <w:t>产品可持续发展行为准则及评定标准</w:t>
      </w:r>
    </w:p>
    <w:p w14:paraId="09F5A70B">
      <w:pPr>
        <w:numPr>
          <w:ilvl w:val="0"/>
          <w:numId w:val="1"/>
        </w:numPr>
        <w:spacing w:before="156" w:beforeLines="50" w:after="156" w:afterLines="50" w:line="360" w:lineRule="auto"/>
        <w:ind w:firstLine="562" w:firstLineChars="200"/>
        <w:jc w:val="left"/>
        <w:rPr>
          <w:rFonts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  <w:t>目的</w:t>
      </w:r>
    </w:p>
    <w:p w14:paraId="2041C808">
      <w:pPr>
        <w:spacing w:before="156" w:beforeLines="50" w:after="156" w:afterLines="50" w:line="360" w:lineRule="auto"/>
        <w:ind w:left="479" w:leftChars="228" w:firstLine="480" w:firstLineChars="200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引导公司相关部门通过对产品全生命周期管理，减少产品在设计、生产、使用及废弃环节的环境足迹，保障社会福祉，建立透明、合规的治理体系，推动行业可持续发展。</w:t>
      </w:r>
    </w:p>
    <w:p w14:paraId="2E27EF01">
      <w:pPr>
        <w:numPr>
          <w:ilvl w:val="0"/>
          <w:numId w:val="1"/>
        </w:numPr>
        <w:spacing w:before="156" w:beforeLines="50" w:after="156" w:afterLines="50" w:line="360" w:lineRule="auto"/>
        <w:ind w:firstLine="562" w:firstLineChars="200"/>
        <w:jc w:val="left"/>
        <w:rPr>
          <w:rFonts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  <w:t>适用范围</w:t>
      </w:r>
    </w:p>
    <w:p w14:paraId="5ACD4BE0">
      <w:pPr>
        <w:spacing w:before="156" w:beforeLines="50" w:after="156" w:afterLines="50" w:line="360" w:lineRule="auto"/>
        <w:ind w:firstLine="480" w:firstLineChars="200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医疗业务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  <w:lang w:eastAsia="zh-CN"/>
        </w:rPr>
        <w:t>板块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、制造业务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  <w:lang w:eastAsia="zh-CN"/>
        </w:rPr>
        <w:t>板块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相关的部门、员工，以及与公司有业务往来的供应商、合作伙伴。</w:t>
      </w:r>
    </w:p>
    <w:p w14:paraId="3616DC34">
      <w:pPr>
        <w:numPr>
          <w:ilvl w:val="0"/>
          <w:numId w:val="1"/>
        </w:numPr>
        <w:spacing w:before="156" w:beforeLines="50" w:after="156" w:afterLines="50" w:line="360" w:lineRule="auto"/>
        <w:ind w:firstLine="562" w:firstLineChars="200"/>
        <w:jc w:val="left"/>
        <w:rPr>
          <w:rFonts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  <w:t>定义</w:t>
      </w:r>
    </w:p>
    <w:p w14:paraId="3FD0D9B5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产品全生命周期：指的是产品从最初的概念构思、设计研发起步,经过原材料采购、生产制造、包装运输、市场销售、消费者使用、运维保养,直至最终废弃处置的完整过程覆盖了产品"从摇篮到坟墓"的所有阶段。</w:t>
      </w:r>
    </w:p>
    <w:p w14:paraId="6F8EA3AC">
      <w:pPr>
        <w:numPr>
          <w:ilvl w:val="0"/>
          <w:numId w:val="1"/>
        </w:numPr>
        <w:spacing w:before="156" w:beforeLines="50" w:after="156" w:afterLines="50" w:line="360" w:lineRule="auto"/>
        <w:ind w:firstLine="562"/>
        <w:jc w:val="left"/>
        <w:rPr>
          <w:rFonts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  <w:t>产品可持续发展行为准则</w:t>
      </w:r>
    </w:p>
    <w:p w14:paraId="2EBB37E2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b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18"/>
          <w:shd w:val="clear" w:color="auto" w:fill="FFFFFF"/>
        </w:rPr>
        <w:t>环境责任（E）</w:t>
      </w:r>
    </w:p>
    <w:p w14:paraId="5CC8694B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ab/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产品设计阶段的绿色设计及原材料：</w:t>
      </w:r>
    </w:p>
    <w:p w14:paraId="6FC2E574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优先采用可再生、可降解、可回收或对环境影响较小的原材料。合理设计原材料用量，降低原材料的损耗率。</w:t>
      </w:r>
    </w:p>
    <w:p w14:paraId="4F14ED98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使用可回收或可降解包装材料，合理设计包装，减少过度包装。</w:t>
      </w:r>
    </w:p>
    <w:p w14:paraId="60C9CA9B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在保证产品性能和功能的前提下，尽量减小产品的体积和重量，减少原材料的使用量，降低运输过程中的能源消耗和碳排放。</w:t>
      </w:r>
    </w:p>
    <w:p w14:paraId="583E29D7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限制有害化学物质（如邻苯二甲酸酯、重金属）的使用，符合REACH、RoHS等国际标准。</w:t>
      </w:r>
    </w:p>
    <w:p w14:paraId="16925B95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采用生命周期评价（LCA）工具量化碳足迹环境影响。</w:t>
      </w:r>
    </w:p>
    <w:p w14:paraId="360C6C2C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ab/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产品生产阶段的节能减排及绿色生产：</w:t>
      </w:r>
    </w:p>
    <w:p w14:paraId="062980B7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采用先进的生产技术和设备，或优化生产工艺，提高能源利用效率，降低能源消耗。</w:t>
      </w:r>
    </w:p>
    <w:p w14:paraId="44A2C4B7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3、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ab/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产品销售阶段的绿色运输：</w:t>
      </w:r>
    </w:p>
    <w:p w14:paraId="1030FA30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推行绿色物流，优化运输路线，采用电动或低碳排放运输工具。</w:t>
      </w:r>
    </w:p>
    <w:p w14:paraId="2962BD52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</w:p>
    <w:p w14:paraId="5DFB90D3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b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18"/>
          <w:shd w:val="clear" w:color="auto" w:fill="FFFFFF"/>
        </w:rPr>
        <w:t>社会责任（S）</w:t>
      </w:r>
    </w:p>
    <w:p w14:paraId="58E59847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ab/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产品安全及可及性：</w:t>
      </w:r>
    </w:p>
    <w:p w14:paraId="183C450C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确保产品符合国家和行业相关标准，为用户提供安全、可靠的医疗耗材产品。</w:t>
      </w:r>
    </w:p>
    <w:p w14:paraId="19862C9C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确保产品生物相容性及安全性，符合ISO 10993等医疗器械国际标准。</w:t>
      </w:r>
    </w:p>
    <w:p w14:paraId="2A7C6A36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关注中低收入地区需求，开发低成本、高质量的基础医疗耗材（如纱布、注射器）。</w:t>
      </w:r>
    </w:p>
    <w:p w14:paraId="54FC7B1E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收集用户在使用过程中的反馈信息，了解产品的使用情况和用户需求，为产品的改进和升级提供依据。</w:t>
      </w:r>
    </w:p>
    <w:p w14:paraId="0292744B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ab/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供应链责任：</w:t>
      </w:r>
    </w:p>
    <w:p w14:paraId="609FDFBB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建立并推进供应商ESG尽职调查与评估机制，恪守负责任采购原则，严禁在供应链中出现童工、强制劳动或不当使用冲突矿产行为，持续推动供应链劳工权益保障（如公平薪酬、健康与安全作业环境等。</w:t>
      </w:r>
    </w:p>
    <w:p w14:paraId="404D144A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b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18"/>
          <w:shd w:val="clear" w:color="auto" w:fill="FFFFFF"/>
        </w:rPr>
        <w:t>治理责任（G）</w:t>
      </w:r>
    </w:p>
    <w:p w14:paraId="1F226DFF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ab/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产品可追溯性管理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：</w:t>
      </w:r>
    </w:p>
    <w:p w14:paraId="501F996B">
      <w:pPr>
        <w:tabs>
          <w:tab w:val="left" w:pos="312"/>
        </w:tabs>
        <w:spacing w:before="156" w:beforeLines="50" w:after="156" w:afterLines="50" w:line="360" w:lineRule="auto"/>
        <w:ind w:left="562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建立产品追溯系统，确保原材料来源与生产过程可追踪。</w:t>
      </w:r>
    </w:p>
    <w:p w14:paraId="466FDA1D">
      <w:pPr>
        <w:numPr>
          <w:ilvl w:val="0"/>
          <w:numId w:val="1"/>
        </w:numPr>
        <w:spacing w:before="156" w:beforeLines="50" w:after="156" w:afterLines="50" w:line="360" w:lineRule="auto"/>
        <w:ind w:firstLine="562"/>
        <w:jc w:val="left"/>
        <w:rPr>
          <w:rFonts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</w:rPr>
        <w:t>产品可持续发展评定标准</w:t>
      </w:r>
    </w:p>
    <w:p w14:paraId="4CAFAFC9">
      <w:pPr>
        <w:tabs>
          <w:tab w:val="left" w:pos="312"/>
        </w:tabs>
        <w:spacing w:before="156" w:beforeLines="50" w:after="156" w:afterLines="50" w:line="360" w:lineRule="auto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5.1</w:t>
      </w:r>
      <w:r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基本原则：</w:t>
      </w:r>
    </w:p>
    <w:p w14:paraId="3EAD5031">
      <w:pPr>
        <w:tabs>
          <w:tab w:val="left" w:pos="312"/>
        </w:tabs>
        <w:spacing w:before="156" w:beforeLines="50" w:after="156" w:afterLines="50" w:line="360" w:lineRule="auto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科学性与规范性：基于生命周期评价（LCA）方法论(如参考ISO 14040/14044等国际标准),系统化评估产品从原料获取、制造、运输、使用到生命终期的综合环境影响。</w:t>
      </w:r>
    </w:p>
    <w:p w14:paraId="6FF0E6BE">
      <w:pPr>
        <w:tabs>
          <w:tab w:val="left" w:pos="312"/>
        </w:tabs>
        <w:spacing w:before="156" w:beforeLines="50" w:after="156" w:afterLines="50" w:line="360" w:lineRule="auto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合规与透明：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引入第三方独立核查与认证机制，确保可持续产品声明及相关数据的客观真实、合规、透明。</w:t>
      </w:r>
    </w:p>
    <w:p w14:paraId="5070C7D4">
      <w:pPr>
        <w:tabs>
          <w:tab w:val="left" w:pos="312"/>
        </w:tabs>
        <w:spacing w:before="156" w:beforeLines="50" w:after="156" w:afterLines="50" w:line="360" w:lineRule="auto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分级管理：根据产品的生命周期评价（LCA）等数据划分产品可持续发展的级别，分为：基础级、进阶级、领先级，鼓励持续改进。</w:t>
      </w:r>
    </w:p>
    <w:p w14:paraId="54FC82D1">
      <w:pPr>
        <w:tabs>
          <w:tab w:val="left" w:pos="312"/>
        </w:tabs>
        <w:spacing w:before="156" w:beforeLines="50" w:after="156" w:afterLines="50" w:line="360" w:lineRule="auto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5.2</w:t>
      </w:r>
      <w:r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18"/>
          <w:shd w:val="clear" w:color="auto" w:fill="FFFFFF"/>
        </w:rPr>
        <w:t>评定指标与分级标准：</w:t>
      </w:r>
    </w:p>
    <w:tbl>
      <w:tblPr>
        <w:tblStyle w:val="7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924"/>
        <w:gridCol w:w="2134"/>
        <w:gridCol w:w="1985"/>
      </w:tblGrid>
      <w:tr w14:paraId="6585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  <w:shd w:val="clear" w:color="auto" w:fill="auto"/>
          </w:tcPr>
          <w:p w14:paraId="61178FD6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b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Segoe UI" w:hAnsi="Segoe UI" w:cs="Segoe UI"/>
                <w:b/>
                <w:color w:val="auto"/>
                <w:kern w:val="0"/>
                <w:sz w:val="23"/>
                <w:szCs w:val="23"/>
              </w:rPr>
              <w:t>指标</w:t>
            </w:r>
          </w:p>
        </w:tc>
        <w:tc>
          <w:tcPr>
            <w:tcW w:w="1924" w:type="dxa"/>
            <w:shd w:val="clear" w:color="auto" w:fill="auto"/>
          </w:tcPr>
          <w:p w14:paraId="5B15D840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  <w:t>基础级</w:t>
            </w:r>
          </w:p>
        </w:tc>
        <w:tc>
          <w:tcPr>
            <w:tcW w:w="2134" w:type="dxa"/>
            <w:shd w:val="clear" w:color="auto" w:fill="auto"/>
          </w:tcPr>
          <w:p w14:paraId="52A05726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  <w:t>进阶级</w:t>
            </w:r>
          </w:p>
        </w:tc>
        <w:tc>
          <w:tcPr>
            <w:tcW w:w="1985" w:type="dxa"/>
            <w:shd w:val="clear" w:color="auto" w:fill="auto"/>
          </w:tcPr>
          <w:p w14:paraId="16AFD2C5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  <w:t>领先级</w:t>
            </w:r>
          </w:p>
        </w:tc>
      </w:tr>
      <w:tr w14:paraId="74CB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96" w:type="dxa"/>
            <w:shd w:val="clear" w:color="auto" w:fill="auto"/>
          </w:tcPr>
          <w:p w14:paraId="5C4525CE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  <w:t>可持续材料占比</w:t>
            </w:r>
          </w:p>
        </w:tc>
        <w:tc>
          <w:tcPr>
            <w:tcW w:w="1924" w:type="dxa"/>
            <w:shd w:val="clear" w:color="auto" w:fill="auto"/>
          </w:tcPr>
          <w:p w14:paraId="405B63F3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Segoe UI" w:hAnsi="Segoe UI" w:cs="Segoe UI"/>
                <w:color w:val="auto"/>
                <w:kern w:val="0"/>
                <w:sz w:val="23"/>
                <w:szCs w:val="23"/>
              </w:rPr>
              <w:t>初</w:t>
            </w:r>
            <w:r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  <w:t>步采用可再生</w:t>
            </w:r>
            <w:r>
              <w:rPr>
                <w:rFonts w:hint="eastAsia" w:ascii="Segoe UI" w:hAnsi="Segoe UI" w:cs="Segoe UI"/>
                <w:color w:val="auto"/>
                <w:kern w:val="0"/>
                <w:sz w:val="23"/>
                <w:szCs w:val="23"/>
              </w:rPr>
              <w:t>/再生材料</w:t>
            </w:r>
          </w:p>
        </w:tc>
        <w:tc>
          <w:tcPr>
            <w:tcW w:w="2134" w:type="dxa"/>
            <w:shd w:val="clear" w:color="auto" w:fill="auto"/>
          </w:tcPr>
          <w:p w14:paraId="12D63E3C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  <w:t>显著采用可再生/再生材料</w:t>
            </w:r>
          </w:p>
        </w:tc>
        <w:tc>
          <w:tcPr>
            <w:tcW w:w="1985" w:type="dxa"/>
            <w:shd w:val="clear" w:color="auto" w:fill="auto"/>
          </w:tcPr>
          <w:p w14:paraId="1D7393DA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  <w:t>全面采用可再生/再生材料</w:t>
            </w:r>
          </w:p>
        </w:tc>
      </w:tr>
      <w:tr w14:paraId="7E5C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96" w:type="dxa"/>
            <w:shd w:val="clear" w:color="auto" w:fill="auto"/>
          </w:tcPr>
          <w:p w14:paraId="6AF41AC4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  <w:t>可持续包材占比</w:t>
            </w:r>
          </w:p>
        </w:tc>
        <w:tc>
          <w:tcPr>
            <w:tcW w:w="1924" w:type="dxa"/>
            <w:shd w:val="clear" w:color="auto" w:fill="auto"/>
          </w:tcPr>
          <w:p w14:paraId="7C0F4607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  <w:t>部分使用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森林管理委员会（</w:t>
            </w:r>
            <w:r>
              <w:rPr>
                <w:rFonts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FSC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）认证的包材</w:t>
            </w:r>
          </w:p>
        </w:tc>
        <w:tc>
          <w:tcPr>
            <w:tcW w:w="2134" w:type="dxa"/>
            <w:shd w:val="clear" w:color="auto" w:fill="auto"/>
          </w:tcPr>
          <w:p w14:paraId="420A2320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  <w:t>大部分使用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森林管理委员会（</w:t>
            </w:r>
            <w:r>
              <w:rPr>
                <w:rFonts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FSC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）认证的包材</w:t>
            </w:r>
          </w:p>
        </w:tc>
        <w:tc>
          <w:tcPr>
            <w:tcW w:w="1985" w:type="dxa"/>
            <w:shd w:val="clear" w:color="auto" w:fill="auto"/>
          </w:tcPr>
          <w:p w14:paraId="11D93786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  <w:t>全部使用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森林管理委员会（</w:t>
            </w:r>
            <w:r>
              <w:rPr>
                <w:rFonts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FSC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）认证的包材</w:t>
            </w:r>
          </w:p>
        </w:tc>
      </w:tr>
      <w:tr w14:paraId="3C33C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96" w:type="dxa"/>
            <w:shd w:val="clear" w:color="auto" w:fill="auto"/>
          </w:tcPr>
          <w:p w14:paraId="221BA840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Style w:val="9"/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轻量化设计</w:t>
            </w:r>
          </w:p>
        </w:tc>
        <w:tc>
          <w:tcPr>
            <w:tcW w:w="1924" w:type="dxa"/>
            <w:shd w:val="clear" w:color="auto" w:fill="auto"/>
          </w:tcPr>
          <w:p w14:paraId="7B2CC417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单位产品材料用量同比</w:t>
            </w:r>
            <w:r>
              <w:rPr>
                <w:rFonts w:hint="eastAsia"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略</w:t>
            </w: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有减少</w:t>
            </w:r>
          </w:p>
        </w:tc>
        <w:tc>
          <w:tcPr>
            <w:tcW w:w="2134" w:type="dxa"/>
            <w:shd w:val="clear" w:color="auto" w:fill="auto"/>
          </w:tcPr>
          <w:p w14:paraId="78A81C03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单位产品材料用量同比</w:t>
            </w:r>
            <w:r>
              <w:rPr>
                <w:rFonts w:hint="eastAsia"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明</w:t>
            </w: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显减少</w:t>
            </w:r>
          </w:p>
        </w:tc>
        <w:tc>
          <w:tcPr>
            <w:tcW w:w="1985" w:type="dxa"/>
            <w:shd w:val="clear" w:color="auto" w:fill="auto"/>
          </w:tcPr>
          <w:p w14:paraId="7FD3BA8F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单位产品材料用量同比</w:t>
            </w:r>
            <w:r>
              <w:rPr>
                <w:rFonts w:hint="eastAsia"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大</w:t>
            </w: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幅减少</w:t>
            </w:r>
          </w:p>
        </w:tc>
      </w:tr>
      <w:tr w14:paraId="73DF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96" w:type="dxa"/>
            <w:shd w:val="clear" w:color="auto" w:fill="auto"/>
          </w:tcPr>
          <w:p w14:paraId="0FD0D698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Style w:val="9"/>
                <w:rFonts w:hint="eastAsia" w:ascii="Segoe UI" w:hAnsi="Segoe UI" w:cs="Segoe UI"/>
                <w:bCs w:val="0"/>
                <w:color w:val="auto"/>
                <w:sz w:val="23"/>
                <w:szCs w:val="23"/>
                <w:shd w:val="clear" w:color="auto" w:fill="FFFFFF"/>
              </w:rPr>
              <w:t>产品碳足迹管理</w:t>
            </w:r>
          </w:p>
        </w:tc>
        <w:tc>
          <w:tcPr>
            <w:tcW w:w="1924" w:type="dxa"/>
            <w:shd w:val="clear" w:color="auto" w:fill="auto"/>
          </w:tcPr>
          <w:p w14:paraId="042C9393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完成产品碳足迹核算</w:t>
            </w:r>
          </w:p>
        </w:tc>
        <w:tc>
          <w:tcPr>
            <w:tcW w:w="2134" w:type="dxa"/>
            <w:shd w:val="clear" w:color="auto" w:fill="auto"/>
          </w:tcPr>
          <w:p w14:paraId="2FF37B2C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完成产品碳足迹核算，且单位产品碳排放同比持续下降</w:t>
            </w:r>
          </w:p>
        </w:tc>
        <w:tc>
          <w:tcPr>
            <w:tcW w:w="1985" w:type="dxa"/>
            <w:shd w:val="clear" w:color="auto" w:fill="auto"/>
          </w:tcPr>
          <w:p w14:paraId="0869BAB4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完成产品碳足迹核算，且单位产品碳排放同比显著下降</w:t>
            </w:r>
          </w:p>
        </w:tc>
      </w:tr>
      <w:tr w14:paraId="79B2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96" w:type="dxa"/>
            <w:shd w:val="clear" w:color="auto" w:fill="auto"/>
          </w:tcPr>
          <w:p w14:paraId="26DB2F86">
            <w:pPr>
              <w:tabs>
                <w:tab w:val="left" w:pos="627"/>
              </w:tabs>
              <w:spacing w:line="0" w:lineRule="atLeast"/>
              <w:rPr>
                <w:rStyle w:val="9"/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</w:pPr>
            <w:r>
              <w:rPr>
                <w:rStyle w:val="9"/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材料可追溯性</w:t>
            </w:r>
          </w:p>
        </w:tc>
        <w:tc>
          <w:tcPr>
            <w:tcW w:w="1924" w:type="dxa"/>
            <w:shd w:val="clear" w:color="auto" w:fill="auto"/>
          </w:tcPr>
          <w:p w14:paraId="3B7AE779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shd w:val="clear" w:color="auto" w:fill="FFFFFF"/>
              </w:rPr>
              <w:t>推进产品可追溯性基础建设</w:t>
            </w:r>
          </w:p>
        </w:tc>
        <w:tc>
          <w:tcPr>
            <w:tcW w:w="2134" w:type="dxa"/>
            <w:shd w:val="clear" w:color="auto" w:fill="auto"/>
          </w:tcPr>
          <w:p w14:paraId="0CB72A06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一级供应商可提供材料来源声明</w:t>
            </w:r>
          </w:p>
        </w:tc>
        <w:tc>
          <w:tcPr>
            <w:tcW w:w="1985" w:type="dxa"/>
            <w:shd w:val="clear" w:color="auto" w:fill="auto"/>
          </w:tcPr>
          <w:p w14:paraId="5084FC99">
            <w:pPr>
              <w:tabs>
                <w:tab w:val="left" w:pos="627"/>
              </w:tabs>
              <w:spacing w:line="0" w:lineRule="atLeast"/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auto"/>
                <w:sz w:val="23"/>
                <w:szCs w:val="23"/>
                <w:shd w:val="clear" w:color="auto" w:fill="FFFFFF"/>
              </w:rPr>
              <w:t>全供应链（至原材料开采）可追溯</w:t>
            </w:r>
          </w:p>
        </w:tc>
      </w:tr>
    </w:tbl>
    <w:p w14:paraId="6F69AA43">
      <w:pPr>
        <w:spacing w:line="360" w:lineRule="auto"/>
        <w:ind w:left="420" w:leftChars="200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</w:p>
    <w:p w14:paraId="7057F0FE">
      <w:pPr>
        <w:spacing w:line="360" w:lineRule="auto"/>
        <w:ind w:left="420" w:leftChars="200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</w:p>
    <w:p w14:paraId="0FFD1BE3">
      <w:pPr>
        <w:spacing w:line="360" w:lineRule="auto"/>
        <w:ind w:left="420" w:leftChars="200"/>
        <w:jc w:val="left"/>
        <w:rPr>
          <w:rFonts w:ascii="宋体" w:hAnsi="宋体" w:eastAsia="宋体" w:cs="宋体"/>
          <w:color w:val="auto"/>
          <w:sz w:val="24"/>
          <w:szCs w:val="18"/>
          <w:shd w:val="clear" w:color="auto" w:fill="FFFFFF"/>
        </w:rPr>
      </w:pPr>
    </w:p>
    <w:p w14:paraId="50F2A9F8">
      <w:pPr>
        <w:spacing w:line="360" w:lineRule="auto"/>
        <w:ind w:left="420" w:leftChars="200"/>
        <w:jc w:val="right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稳健医疗用品股份有限公司</w:t>
      </w:r>
    </w:p>
    <w:p w14:paraId="120873D1">
      <w:pPr>
        <w:spacing w:line="360" w:lineRule="auto"/>
        <w:ind w:left="420" w:leftChars="200"/>
        <w:jc w:val="right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2026年7月1</w:t>
      </w:r>
      <w:r>
        <w:rPr>
          <w:rFonts w:ascii="宋体" w:hAnsi="宋体" w:eastAsia="宋体" w:cs="宋体"/>
          <w:color w:val="auto"/>
          <w:sz w:val="24"/>
          <w:szCs w:val="24"/>
        </w:rPr>
        <w:t>0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sectPr>
      <w:footerReference r:id="rId5" w:type="first"/>
      <w:headerReference r:id="rId3" w:type="default"/>
      <w:footerReference r:id="rId4" w:type="default"/>
      <w:pgSz w:w="11906" w:h="16838"/>
      <w:pgMar w:top="992" w:right="1134" w:bottom="777" w:left="1134" w:header="851" w:footer="907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EB81C">
    <w:pPr>
      <w:pStyle w:val="4"/>
      <w:ind w:firstLine="90" w:firstLineChars="5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3C14D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3C14D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B6D69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9BE6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9BE6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40DEA">
    <w:pPr>
      <w:pStyle w:val="5"/>
      <w:jc w:val="both"/>
      <w:rPr>
        <w:rFonts w:ascii="宋体" w:hAnsi="宋体" w:eastAsia="宋体" w:cs="宋体"/>
        <w:sz w:val="21"/>
        <w:szCs w:val="21"/>
      </w:rPr>
    </w:pPr>
    <w:r>
      <w:rPr>
        <w:rFonts w:hint="eastAsia" w:ascii="宋体" w:hAnsi="宋体" w:eastAsia="宋体" w:cs="宋体"/>
        <w:sz w:val="21"/>
        <w:szCs w:val="21"/>
      </w:rPr>
      <w:t xml:space="preserve">稳健医疗用品股份有限公司                           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      </w:t>
    </w:r>
    <w:r>
      <w:rPr>
        <w:rFonts w:hint="eastAsia" w:ascii="宋体" w:hAnsi="宋体" w:eastAsia="宋体" w:cs="宋体"/>
        <w:sz w:val="21"/>
        <w:szCs w:val="21"/>
      </w:rPr>
      <w:t>产品可持续发展行为准则及评定标准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C00BC"/>
    <w:multiLevelType w:val="singleLevel"/>
    <w:tmpl w:val="5DBC00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AF"/>
    <w:rsid w:val="000126D6"/>
    <w:rsid w:val="00043B66"/>
    <w:rsid w:val="0005305A"/>
    <w:rsid w:val="00056946"/>
    <w:rsid w:val="000846B1"/>
    <w:rsid w:val="00095386"/>
    <w:rsid w:val="000B1CBB"/>
    <w:rsid w:val="000C4579"/>
    <w:rsid w:val="000C6FD4"/>
    <w:rsid w:val="00106DB9"/>
    <w:rsid w:val="00133791"/>
    <w:rsid w:val="001450A6"/>
    <w:rsid w:val="001D113C"/>
    <w:rsid w:val="002648B9"/>
    <w:rsid w:val="00282C17"/>
    <w:rsid w:val="00296DF0"/>
    <w:rsid w:val="002B6E22"/>
    <w:rsid w:val="002B76BD"/>
    <w:rsid w:val="002F7767"/>
    <w:rsid w:val="00300175"/>
    <w:rsid w:val="00396193"/>
    <w:rsid w:val="003A0FB3"/>
    <w:rsid w:val="003C5AEE"/>
    <w:rsid w:val="003C7757"/>
    <w:rsid w:val="00470E23"/>
    <w:rsid w:val="004B3EFD"/>
    <w:rsid w:val="004C380D"/>
    <w:rsid w:val="005346B0"/>
    <w:rsid w:val="0057443F"/>
    <w:rsid w:val="00590C1F"/>
    <w:rsid w:val="005B58C2"/>
    <w:rsid w:val="005E383F"/>
    <w:rsid w:val="006523A1"/>
    <w:rsid w:val="00653D99"/>
    <w:rsid w:val="00671876"/>
    <w:rsid w:val="006B56C9"/>
    <w:rsid w:val="006E5F15"/>
    <w:rsid w:val="007040DC"/>
    <w:rsid w:val="007415B0"/>
    <w:rsid w:val="007841A6"/>
    <w:rsid w:val="007C2B52"/>
    <w:rsid w:val="007E2384"/>
    <w:rsid w:val="008051BF"/>
    <w:rsid w:val="00805C34"/>
    <w:rsid w:val="00830128"/>
    <w:rsid w:val="00832C28"/>
    <w:rsid w:val="00832C31"/>
    <w:rsid w:val="00856DB2"/>
    <w:rsid w:val="00870317"/>
    <w:rsid w:val="008846A8"/>
    <w:rsid w:val="009A0E18"/>
    <w:rsid w:val="009D5AE9"/>
    <w:rsid w:val="009E7AE6"/>
    <w:rsid w:val="009F05C5"/>
    <w:rsid w:val="00A84404"/>
    <w:rsid w:val="00A860B5"/>
    <w:rsid w:val="00A9127F"/>
    <w:rsid w:val="00AE2AD9"/>
    <w:rsid w:val="00AF7FAB"/>
    <w:rsid w:val="00B0739C"/>
    <w:rsid w:val="00B32035"/>
    <w:rsid w:val="00B72EE9"/>
    <w:rsid w:val="00B808AD"/>
    <w:rsid w:val="00BA25F0"/>
    <w:rsid w:val="00BB21CD"/>
    <w:rsid w:val="00BD37B3"/>
    <w:rsid w:val="00C25CF0"/>
    <w:rsid w:val="00C65087"/>
    <w:rsid w:val="00CA4A71"/>
    <w:rsid w:val="00CA6FA5"/>
    <w:rsid w:val="00CA7C73"/>
    <w:rsid w:val="00CC133C"/>
    <w:rsid w:val="00CE1E3A"/>
    <w:rsid w:val="00D05E3C"/>
    <w:rsid w:val="00D51A84"/>
    <w:rsid w:val="00D62304"/>
    <w:rsid w:val="00D7776E"/>
    <w:rsid w:val="00D97FCD"/>
    <w:rsid w:val="00DE7E92"/>
    <w:rsid w:val="00E040A2"/>
    <w:rsid w:val="00E05216"/>
    <w:rsid w:val="00E24AED"/>
    <w:rsid w:val="00E31120"/>
    <w:rsid w:val="00E57DF9"/>
    <w:rsid w:val="00E63CA6"/>
    <w:rsid w:val="00E76F5C"/>
    <w:rsid w:val="00E82EEC"/>
    <w:rsid w:val="00EA1AAF"/>
    <w:rsid w:val="00EC6524"/>
    <w:rsid w:val="00EE3304"/>
    <w:rsid w:val="00F019AF"/>
    <w:rsid w:val="00F2367D"/>
    <w:rsid w:val="00F30B2D"/>
    <w:rsid w:val="00F7761F"/>
    <w:rsid w:val="00F82B0A"/>
    <w:rsid w:val="00F8773B"/>
    <w:rsid w:val="00FE6909"/>
    <w:rsid w:val="01AA485B"/>
    <w:rsid w:val="042C2C6A"/>
    <w:rsid w:val="07D16AD6"/>
    <w:rsid w:val="0BE81485"/>
    <w:rsid w:val="10A43E34"/>
    <w:rsid w:val="12E36BE9"/>
    <w:rsid w:val="1F920D59"/>
    <w:rsid w:val="25437899"/>
    <w:rsid w:val="2F734D88"/>
    <w:rsid w:val="3DC9769E"/>
    <w:rsid w:val="43A54E07"/>
    <w:rsid w:val="4F9131DE"/>
    <w:rsid w:val="56102166"/>
    <w:rsid w:val="5BA913F1"/>
    <w:rsid w:val="5D056F10"/>
    <w:rsid w:val="65270A06"/>
    <w:rsid w:val="75C50C29"/>
    <w:rsid w:val="7F42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jc w:val="center"/>
      <w:outlineLvl w:val="0"/>
    </w:pPr>
    <w:rPr>
      <w:rFonts w:ascii="Times New Roman" w:hAnsi="Times New Roman" w:eastAsia="宋体" w:cs="Times New Roman"/>
      <w:sz w:val="3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character" w:styleId="9">
    <w:name w:val="Strong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0"/>
    <w:rPr>
      <w:rFonts w:ascii="Times New Roman" w:hAnsi="Times New Roman" w:eastAsia="宋体" w:cs="Times New Roman"/>
      <w:sz w:val="30"/>
      <w:szCs w:val="2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TOC 标题1"/>
    <w:basedOn w:val="2"/>
    <w:next w:val="1"/>
    <w:autoRedefine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2E75B6" w:themeColor="accent1" w:themeShade="BF"/>
      <w:kern w:val="0"/>
      <w:sz w:val="28"/>
      <w:szCs w:val="28"/>
    </w:rPr>
  </w:style>
  <w:style w:type="character" w:customStyle="1" w:styleId="17">
    <w:name w:val="批注文字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4F125A-F0EF-4965-902E-A96D8661AB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1135</Words>
  <Characters>1181</Characters>
  <Lines>11</Lines>
  <Paragraphs>3</Paragraphs>
  <TotalTime>3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2026-07-10T09:50:00Z</dcterms:created>
  <dc:creator>曹文军</dc:creator>
  <cp:lastModifiedBy>Carrie。</cp:lastModifiedBy>
  <dcterms:modified xsi:type="dcterms:W3CDTF">2026-07-30T02:42:39Z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eyJoZGlkIjoiZDRjYzFhNmQ2ZmEwMTM1NWFlZGFiZjI4NDdlOWRkMmYiLCJ1c2VySWQiOiIyNjY4MTg1NDEifQ==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AA32296391B349918AE3BC02407C8A99_13</vt:lpwstr>
  </property>
</Properties>
</file>